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88C48" w14:textId="77777777" w:rsidR="0047385C" w:rsidRPr="00014F60" w:rsidRDefault="0047385C" w:rsidP="0047385C">
      <w:pPr>
        <w:rPr>
          <w:b/>
        </w:rPr>
      </w:pPr>
    </w:p>
    <w:p w14:paraId="628A8398" w14:textId="2F3FD97F" w:rsidR="0047385C" w:rsidRPr="0031238A" w:rsidRDefault="0047385C" w:rsidP="0047385C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Ausfüllhinweise Datenerfassungstabellen </w:t>
      </w:r>
      <w:r w:rsidR="000D6249">
        <w:rPr>
          <w:b/>
          <w:sz w:val="32"/>
          <w:szCs w:val="32"/>
        </w:rPr>
        <w:t>Amt für Immobilien- und Baumanagement (AIB)</w:t>
      </w:r>
    </w:p>
    <w:p w14:paraId="76E73C1A" w14:textId="4A64AAC3" w:rsidR="0047385C" w:rsidRDefault="0047385C">
      <w:r>
        <w:t xml:space="preserve">Der alphanumerische Anteil der Bestandsdaten wird im </w:t>
      </w:r>
      <w:r w:rsidR="000D6249">
        <w:t>Amt für Immobilien- und Baumanagement (AIB)</w:t>
      </w:r>
      <w:r>
        <w:t xml:space="preserve"> über Datenerfassungstabellen (DET) ausgetauscht. Abhängig vom </w:t>
      </w:r>
      <w:r w:rsidR="006B080A">
        <w:t>Bauherren</w:t>
      </w:r>
      <w:r>
        <w:t xml:space="preserve"> können die Datenerfassungstabellen inhaltlich unterschiedlich sein. </w:t>
      </w:r>
      <w:r w:rsidR="006B080A">
        <w:t>Das</w:t>
      </w:r>
      <w:r>
        <w:t xml:space="preserve"> </w:t>
      </w:r>
      <w:r w:rsidR="006B080A">
        <w:t xml:space="preserve">AIB </w:t>
      </w:r>
      <w:r>
        <w:t>hat die DET’s der BImA und der Bundeswehr als Vorlage verwendet aber um die landesspezifischen Attribute ergänzt.</w:t>
      </w:r>
    </w:p>
    <w:p w14:paraId="1FF9A224" w14:textId="12F7DEF2" w:rsidR="0047385C" w:rsidRDefault="0047385C">
      <w:r>
        <w:t xml:space="preserve">Grundsätzlich gelten immer die Datenerfassungstabellen des jeweiligen </w:t>
      </w:r>
      <w:r w:rsidR="006B080A">
        <w:t>Bauherren</w:t>
      </w:r>
      <w:r>
        <w:t xml:space="preserve"> uneingeschränkt und in der aktuell gültigen Version.</w:t>
      </w:r>
    </w:p>
    <w:p w14:paraId="46CDF9BF" w14:textId="77777777" w:rsidR="0047385C" w:rsidRDefault="0047385C">
      <w:r>
        <w:t>Die Kodierung der Landes</w:t>
      </w:r>
      <w:r w:rsidR="007940FC">
        <w:t>-</w:t>
      </w:r>
      <w:r>
        <w:t>DET’s richtet sich nach den Systemnummern aus dem Programmsystem pitFM.</w:t>
      </w:r>
    </w:p>
    <w:p w14:paraId="66F2F6D7" w14:textId="77777777" w:rsidR="000A72F3" w:rsidRDefault="000A72F3">
      <w:r>
        <w:t>Dabei gilt die Liegenschaftsnummer ist fünfstellig und die Gebäudenummer ist fünfstellig. Die Gebäudeteilnummer ist zweistellig und ist im Fall nur eines Gebäudeteils mit der 01 zu belegen.</w:t>
      </w:r>
    </w:p>
    <w:p w14:paraId="11F489DF" w14:textId="77777777" w:rsidR="000A72F3" w:rsidRDefault="000A72F3">
      <w:r>
        <w:t>Es folgt der Geschosscode vierstellig und eine vierstellige Raumkodierung. Bei der Raumkodierung ist zu beachten, dass sie in jedem Geschoss fortlaufend</w:t>
      </w:r>
      <w:r w:rsidR="00B6344E">
        <w:t xml:space="preserve"> und lückenlos</w:t>
      </w:r>
      <w:r>
        <w:t xml:space="preserve"> sein muss und stets </w:t>
      </w:r>
      <w:r w:rsidR="007940FC">
        <w:t xml:space="preserve">geschossweise </w:t>
      </w:r>
      <w:r>
        <w:t xml:space="preserve">mit R001 zu starten ist. </w:t>
      </w:r>
      <w:r w:rsidR="00C4375B">
        <w:t>Vertikal zusammengehörende Treppenhäuser, Aufzugschächte, Versorgungschächte u. ä. (mehr als 1 m² lichter Querschnitt) sind innerhalb eines Geschosses als einzelne Räume zu definieren und geschossübergreifend mit identischen Rau</w:t>
      </w:r>
      <w:r w:rsidR="00DF7A4F">
        <w:t>m-Codierungen zu versehen (</w:t>
      </w:r>
      <w:r w:rsidR="00C4375B">
        <w:t>RA01 bis RA99 für Aufzug, RT01 bis RT99 für Treppenhaus, RS01 bis RS99 für Schacht)</w:t>
      </w:r>
      <w:r w:rsidR="00DF7A4F">
        <w:t>.</w:t>
      </w:r>
    </w:p>
    <w:p w14:paraId="6D59FBD6" w14:textId="77777777" w:rsidR="000A72F3" w:rsidRDefault="000A72F3">
      <w:r>
        <w:t>Der Schlüssel zusammengesetzt ergibt die RaumID. Diese ist eineindeutig</w:t>
      </w:r>
      <w:r w:rsidR="003364E1">
        <w:t xml:space="preserve"> und</w:t>
      </w:r>
      <w:r w:rsidR="00411D8F">
        <w:t xml:space="preserve"> absolut nicht zu verwechseln mit dem Türschild. Türschilder können grundsätzlich vom Nutzer belegt werden und können sich im Laufe der Lebenszeit eines Gebäudes ändern, während die RaumID erhalten bleibt.</w:t>
      </w:r>
    </w:p>
    <w:p w14:paraId="301F3A0D" w14:textId="77777777" w:rsidR="00653397" w:rsidRDefault="00653397">
      <w:r>
        <w:t>Werden Räume zusammengelegt oder wird ein Raum in mehrere aufgeteilt, sind die alten Räume zu löschen und die Räume mit neuer Raumkodierung anzulegen.</w:t>
      </w:r>
    </w:p>
    <w:p w14:paraId="3902E18F" w14:textId="77777777" w:rsidR="006F4880" w:rsidRDefault="00653397">
      <w:r>
        <w:t>Im Zuge von Umbaumaßnahmen ist das Attribut Löschvermerk in der Datenerfassungstabelle auf „JA“ zu setzen. Der Raum muss in der Datenerfassungstabelle erhalten bleiben und darf nicht als ganze Zeile gelöscht werden.</w:t>
      </w:r>
      <w:r w:rsidR="006F4880">
        <w:t xml:space="preserve"> Zum Beispiel sollen im Zuge von</w:t>
      </w:r>
      <w:r w:rsidR="00154477">
        <w:t xml:space="preserve"> Umbaumaßnahmen zwei nebeneinander</w:t>
      </w:r>
      <w:r w:rsidR="006F4880">
        <w:t>liegende Räume zusammengelegt werden. Dann sind die jeweiligen Zeilen mit den RaumID mit Löschvermerk zu belegen und der neue Raum bekommt die nächste frei RaumID im Geschoss.</w:t>
      </w:r>
    </w:p>
    <w:sectPr w:rsidR="006F4880">
      <w:headerReference w:type="even" r:id="rId6"/>
      <w:headerReference w:type="default" r:id="rId7"/>
      <w:footerReference w:type="even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03493" w14:textId="77777777" w:rsidR="0047385C" w:rsidRDefault="0047385C" w:rsidP="0047385C">
      <w:pPr>
        <w:spacing w:after="0" w:line="240" w:lineRule="auto"/>
      </w:pPr>
      <w:r>
        <w:separator/>
      </w:r>
    </w:p>
  </w:endnote>
  <w:endnote w:type="continuationSeparator" w:id="0">
    <w:p w14:paraId="7C53A3E1" w14:textId="77777777" w:rsidR="0047385C" w:rsidRDefault="0047385C" w:rsidP="004738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8F754" w14:textId="77777777" w:rsidR="00A42680" w:rsidRDefault="006F4880" w:rsidP="00A42680">
    <w:r>
      <w:t>LB BLSA CAD/CAFM Pflichtenheft Version 1.1</w:t>
    </w:r>
    <w:r>
      <w:tab/>
    </w:r>
    <w:r>
      <w:tab/>
    </w:r>
    <w:r>
      <w:tab/>
      <w:t xml:space="preserve">                        </w:t>
    </w:r>
    <w:r>
      <w:rPr>
        <w:color w:val="7F7F7F" w:themeColor="background1" w:themeShade="7F"/>
        <w:spacing w:val="60"/>
      </w:rPr>
      <w:t>Seite</w:t>
    </w:r>
    <w:r>
      <w:t xml:space="preserve"> | </w:t>
    </w:r>
    <w:r>
      <w:fldChar w:fldCharType="begin"/>
    </w:r>
    <w:r>
      <w:instrText>PAGE   \* MERGEFORMAT</w:instrText>
    </w:r>
    <w:r>
      <w:fldChar w:fldCharType="separate"/>
    </w:r>
    <w:r w:rsidRPr="00461D59">
      <w:rPr>
        <w:b/>
        <w:bCs/>
        <w:noProof/>
      </w:rPr>
      <w:t>14</w:t>
    </w:r>
    <w:r>
      <w:rPr>
        <w:b/>
        <w:bCs/>
      </w:rPr>
      <w:fldChar w:fldCharType="end"/>
    </w:r>
  </w:p>
  <w:p w14:paraId="302504C5" w14:textId="77777777" w:rsidR="00A42680" w:rsidRDefault="006B080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406D0" w14:textId="77777777" w:rsidR="0047385C" w:rsidRDefault="0047385C" w:rsidP="0047385C">
      <w:pPr>
        <w:spacing w:after="0" w:line="240" w:lineRule="auto"/>
      </w:pPr>
      <w:r>
        <w:separator/>
      </w:r>
    </w:p>
  </w:footnote>
  <w:footnote w:type="continuationSeparator" w:id="0">
    <w:p w14:paraId="65B89C85" w14:textId="77777777" w:rsidR="0047385C" w:rsidRDefault="0047385C" w:rsidP="004738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B147C" w14:textId="77777777" w:rsidR="00A42680" w:rsidRDefault="006F4880" w:rsidP="00A42680">
    <w:pPr>
      <w:pStyle w:val="Kopfzeile"/>
      <w:jc w:val="right"/>
    </w:pPr>
    <w:r>
      <w:rPr>
        <w:noProof/>
      </w:rPr>
      <w:drawing>
        <wp:inline distT="0" distB="0" distL="0" distR="0" wp14:anchorId="2E41D3F4" wp14:editId="2E6D0DF6">
          <wp:extent cx="739584" cy="691200"/>
          <wp:effectExtent l="0" t="0" r="3810" b="0"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48596" cy="6996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2528E" w14:textId="77777777" w:rsidR="0047385C" w:rsidRDefault="0047385C" w:rsidP="0047385C">
    <w:pPr>
      <w:pStyle w:val="Kopfzeile"/>
      <w:jc w:val="right"/>
    </w:pPr>
    <w:r>
      <w:rPr>
        <w:noProof/>
      </w:rPr>
      <w:drawing>
        <wp:inline distT="0" distB="0" distL="0" distR="0" wp14:anchorId="28BD536F" wp14:editId="0236A497">
          <wp:extent cx="737870" cy="688975"/>
          <wp:effectExtent l="0" t="0" r="5080" b="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7870" cy="688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18C"/>
    <w:rsid w:val="000A72F3"/>
    <w:rsid w:val="000D6249"/>
    <w:rsid w:val="00154477"/>
    <w:rsid w:val="003364E1"/>
    <w:rsid w:val="003F618C"/>
    <w:rsid w:val="00411D8F"/>
    <w:rsid w:val="00420070"/>
    <w:rsid w:val="0047385C"/>
    <w:rsid w:val="005C1EDD"/>
    <w:rsid w:val="00653397"/>
    <w:rsid w:val="006B080A"/>
    <w:rsid w:val="006F4880"/>
    <w:rsid w:val="007940FC"/>
    <w:rsid w:val="00914803"/>
    <w:rsid w:val="00B6344E"/>
    <w:rsid w:val="00C4375B"/>
    <w:rsid w:val="00C82580"/>
    <w:rsid w:val="00DF7A4F"/>
    <w:rsid w:val="00F3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086C7"/>
  <w15:chartTrackingRefBased/>
  <w15:docId w15:val="{8F8A8644-FEBA-42A2-9E9D-C96A66EB0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7385C"/>
    <w:pPr>
      <w:jc w:val="both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34689"/>
    <w:pPr>
      <w:keepNext/>
      <w:keepLines/>
      <w:spacing w:before="240" w:after="0"/>
      <w:jc w:val="left"/>
      <w:outlineLvl w:val="0"/>
    </w:pPr>
    <w:rPr>
      <w:rFonts w:eastAsiaTheme="majorEastAsia" w:cstheme="majorBidi"/>
      <w:color w:val="0070C0"/>
      <w:sz w:val="36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34689"/>
    <w:rPr>
      <w:rFonts w:ascii="Arial" w:eastAsiaTheme="majorEastAsia" w:hAnsi="Arial" w:cstheme="majorBidi"/>
      <w:color w:val="0070C0"/>
      <w:sz w:val="36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4738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7385C"/>
    <w:rPr>
      <w:rFonts w:ascii="Arial" w:hAnsi="Arial"/>
    </w:rPr>
  </w:style>
  <w:style w:type="paragraph" w:styleId="Fuzeile">
    <w:name w:val="footer"/>
    <w:basedOn w:val="Standard"/>
    <w:link w:val="FuzeileZchn"/>
    <w:uiPriority w:val="99"/>
    <w:unhideWhenUsed/>
    <w:rsid w:val="004738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7385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317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Hoffmann, Dennis</dc:creator>
  <cp:keywords/>
  <dc:description/>
  <cp:lastModifiedBy>Isachsen, Lars</cp:lastModifiedBy>
  <cp:revision>3</cp:revision>
  <dcterms:created xsi:type="dcterms:W3CDTF">2026-01-12T09:03:00Z</dcterms:created>
  <dcterms:modified xsi:type="dcterms:W3CDTF">2026-01-12T09:11:00Z</dcterms:modified>
</cp:coreProperties>
</file>